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B" w:rsidRPr="00371C02" w:rsidRDefault="00600259">
      <w:pPr>
        <w:rPr>
          <w:b/>
          <w:sz w:val="28"/>
          <w:szCs w:val="28"/>
        </w:rPr>
      </w:pPr>
      <w:r w:rsidRPr="00371C02">
        <w:rPr>
          <w:b/>
          <w:sz w:val="28"/>
          <w:szCs w:val="28"/>
        </w:rPr>
        <w:t>Antibiotikaresistens</w:t>
      </w:r>
      <w:r w:rsidRPr="00371C02">
        <w:rPr>
          <w:b/>
          <w:sz w:val="28"/>
          <w:szCs w:val="28"/>
        </w:rPr>
        <w:tab/>
      </w:r>
      <w:r w:rsidR="00371C02">
        <w:rPr>
          <w:b/>
          <w:sz w:val="28"/>
          <w:szCs w:val="28"/>
        </w:rPr>
        <w:tab/>
      </w:r>
      <w:r w:rsidRPr="00371C02">
        <w:rPr>
          <w:b/>
          <w:sz w:val="28"/>
          <w:szCs w:val="28"/>
        </w:rPr>
        <w:t>Utskott 5</w:t>
      </w:r>
    </w:p>
    <w:p w:rsidR="00600259" w:rsidRPr="00C47EC2" w:rsidRDefault="00600259" w:rsidP="00600259">
      <w:pPr>
        <w:spacing w:after="360" w:line="343" w:lineRule="atLeast"/>
        <w:rPr>
          <w:rFonts w:ascii="din-mediumregular" w:eastAsia="Times New Roman" w:hAnsi="din-mediumregular" w:cs="Arial"/>
          <w:color w:val="1D1D1B"/>
          <w:sz w:val="24"/>
          <w:szCs w:val="24"/>
          <w:lang w:eastAsia="sv-SE"/>
        </w:rPr>
      </w:pPr>
      <w:r w:rsidRPr="00371C02">
        <w:rPr>
          <w:rFonts w:ascii="din-mediumregular" w:eastAsia="Times New Roman" w:hAnsi="din-mediumregular" w:cs="Arial"/>
          <w:b/>
          <w:color w:val="1D1D1B"/>
          <w:sz w:val="24"/>
          <w:szCs w:val="24"/>
          <w:lang w:eastAsia="sv-SE"/>
        </w:rPr>
        <w:t>Infektioner</w:t>
      </w:r>
      <w:r w:rsidRPr="00C47EC2">
        <w:rPr>
          <w:rFonts w:ascii="din-mediumregular" w:eastAsia="Times New Roman" w:hAnsi="din-mediumregular" w:cs="Arial"/>
          <w:color w:val="1D1D1B"/>
          <w:sz w:val="24"/>
          <w:szCs w:val="24"/>
          <w:lang w:eastAsia="sv-SE"/>
        </w:rPr>
        <w:t xml:space="preserve"> orsakade av resistenta bakterier, också kallade multiresistenta bakterier, orsakar 500 000 dödsfall årligen. År 2050 beräknas 10 miljoner människor dö i antibiotika-resistenta infektioner om inga krafttag tas för att motverka denna utveckling. </w:t>
      </w:r>
    </w:p>
    <w:p w:rsidR="00371C02" w:rsidRDefault="00600259" w:rsidP="00600259">
      <w:pPr>
        <w:spacing w:after="0" w:line="377" w:lineRule="atLeast"/>
        <w:rPr>
          <w:rFonts w:ascii="sabonroman" w:eastAsia="Times New Roman" w:hAnsi="sabonroman" w:cs="Arial"/>
          <w:sz w:val="24"/>
          <w:szCs w:val="24"/>
          <w:lang w:eastAsia="sv-SE"/>
        </w:rPr>
      </w:pPr>
      <w:r w:rsidRPr="00371C02">
        <w:rPr>
          <w:rFonts w:ascii="sabonroman" w:eastAsia="Times New Roman" w:hAnsi="sabonroman" w:cs="Arial"/>
          <w:b/>
          <w:sz w:val="24"/>
          <w:szCs w:val="24"/>
          <w:lang w:eastAsia="sv-SE"/>
        </w:rPr>
        <w:t>Antibiotikaresistens</w:t>
      </w:r>
      <w:r w:rsidRPr="00C47EC2">
        <w:rPr>
          <w:rFonts w:ascii="sabonroman" w:eastAsia="Times New Roman" w:hAnsi="sabonroman" w:cs="Arial"/>
          <w:sz w:val="24"/>
          <w:szCs w:val="24"/>
          <w:lang w:eastAsia="sv-SE"/>
        </w:rPr>
        <w:t xml:space="preserve"> är ett hälsoproblem världen över och drabbar alla delar av världen, såväl låg-, som medel- och höginkomstländerna. Konsekvenserna av antibiotikaresistens är dock mest påtagliga för fattiga länder. Det finns redan ett antal bakterier som är motståndskraftiga mot all </w:t>
      </w:r>
      <w:proofErr w:type="gramStart"/>
      <w:r w:rsidRPr="00C47EC2">
        <w:rPr>
          <w:rFonts w:ascii="sabonroman" w:eastAsia="Times New Roman" w:hAnsi="sabonroman" w:cs="Arial"/>
          <w:sz w:val="24"/>
          <w:szCs w:val="24"/>
          <w:lang w:eastAsia="sv-SE"/>
        </w:rPr>
        <w:t>tidigare</w:t>
      </w:r>
      <w:r w:rsidRPr="00C47EC2">
        <w:rPr>
          <w:rFonts w:ascii="sabonroman" w:eastAsia="Times New Roman" w:hAnsi="sabonroman" w:cs="Arial"/>
          <w:sz w:val="24"/>
          <w:szCs w:val="24"/>
          <w:lang w:eastAsia="sv-SE"/>
        </w:rPr>
        <w:t xml:space="preserve"> </w:t>
      </w:r>
      <w:r w:rsidRPr="00C47EC2">
        <w:rPr>
          <w:rFonts w:ascii="sabonroman" w:eastAsia="Times New Roman" w:hAnsi="sabonroman" w:cs="Arial"/>
          <w:sz w:val="24"/>
          <w:szCs w:val="24"/>
          <w:lang w:eastAsia="sv-SE"/>
        </w:rPr>
        <w:t>verksam antibiotika</w:t>
      </w:r>
      <w:proofErr w:type="gramEnd"/>
      <w:r w:rsidRPr="00C47EC2">
        <w:rPr>
          <w:rFonts w:ascii="sabonroman" w:eastAsia="Times New Roman" w:hAnsi="sabonroman" w:cs="Arial"/>
          <w:sz w:val="24"/>
          <w:szCs w:val="24"/>
          <w:lang w:eastAsia="sv-SE"/>
        </w:rPr>
        <w:t xml:space="preserve">. </w:t>
      </w:r>
    </w:p>
    <w:p w:rsidR="00371C02" w:rsidRDefault="00371C02" w:rsidP="00600259">
      <w:pPr>
        <w:spacing w:after="0" w:line="377" w:lineRule="atLeast"/>
        <w:rPr>
          <w:rFonts w:ascii="sabonroman" w:eastAsia="Times New Roman" w:hAnsi="sabonroman" w:cs="Arial"/>
          <w:sz w:val="24"/>
          <w:szCs w:val="24"/>
          <w:lang w:eastAsia="sv-SE"/>
        </w:rPr>
      </w:pPr>
    </w:p>
    <w:p w:rsidR="00600259" w:rsidRDefault="00600259" w:rsidP="00600259">
      <w:pPr>
        <w:spacing w:after="0" w:line="377" w:lineRule="atLeast"/>
        <w:rPr>
          <w:rFonts w:ascii="sabonroman" w:eastAsia="Times New Roman" w:hAnsi="sabonroman" w:cs="Arial"/>
          <w:sz w:val="24"/>
          <w:szCs w:val="24"/>
          <w:lang w:eastAsia="sv-SE"/>
        </w:rPr>
      </w:pPr>
      <w:r w:rsidRPr="00371C02">
        <w:rPr>
          <w:rFonts w:ascii="sabonroman" w:eastAsia="Times New Roman" w:hAnsi="sabonroman" w:cs="Arial"/>
          <w:b/>
          <w:sz w:val="24"/>
          <w:szCs w:val="24"/>
          <w:lang w:eastAsia="sv-SE"/>
        </w:rPr>
        <w:t>Till följd av</w:t>
      </w:r>
      <w:r w:rsidRPr="00C47EC2">
        <w:rPr>
          <w:rFonts w:ascii="sabonroman" w:eastAsia="Times New Roman" w:hAnsi="sabonroman" w:cs="Arial"/>
          <w:sz w:val="24"/>
          <w:szCs w:val="24"/>
          <w:lang w:eastAsia="sv-SE"/>
        </w:rPr>
        <w:t xml:space="preserve"> att vi inte har ett enda antibiotikum att ta till mot dessa infektioner blir resultatet att människor världen över dör. Frågan om antibiotikaresistens har kommit upp på FN:s säkerhetsråd som ett globalt hälsohot. År 2017 har Världshälsoorganisationen WHO publicerat en lista över bakterier som har utvecklat motståndskraft mot de antibiotika som vanligen används för att behandla infektioner orsakade av dessa bakterier. Där är behovet av </w:t>
      </w:r>
      <w:proofErr w:type="gramStart"/>
      <w:r w:rsidRPr="00C47EC2">
        <w:rPr>
          <w:rFonts w:ascii="sabonroman" w:eastAsia="Times New Roman" w:hAnsi="sabonroman" w:cs="Arial"/>
          <w:sz w:val="24"/>
          <w:szCs w:val="24"/>
          <w:lang w:eastAsia="sv-SE"/>
        </w:rPr>
        <w:t>ny antibiotika</w:t>
      </w:r>
      <w:proofErr w:type="gramEnd"/>
      <w:r w:rsidRPr="00C47EC2">
        <w:rPr>
          <w:rFonts w:ascii="sabonroman" w:eastAsia="Times New Roman" w:hAnsi="sabonroman" w:cs="Arial"/>
          <w:sz w:val="24"/>
          <w:szCs w:val="24"/>
          <w:lang w:eastAsia="sv-SE"/>
        </w:rPr>
        <w:t xml:space="preserve"> akut.</w:t>
      </w:r>
    </w:p>
    <w:p w:rsidR="00845E69" w:rsidRPr="00C47EC2" w:rsidRDefault="00845E69" w:rsidP="00600259">
      <w:pPr>
        <w:spacing w:after="0" w:line="377" w:lineRule="atLeast"/>
        <w:rPr>
          <w:rFonts w:ascii="sabonroman" w:eastAsia="Times New Roman" w:hAnsi="sabonroman" w:cs="Arial"/>
          <w:sz w:val="24"/>
          <w:szCs w:val="24"/>
          <w:lang w:eastAsia="sv-SE"/>
        </w:rPr>
      </w:pPr>
    </w:p>
    <w:p w:rsidR="00600259" w:rsidRPr="00C47EC2" w:rsidRDefault="00371C02" w:rsidP="00600259">
      <w:pPr>
        <w:spacing w:after="0" w:line="377" w:lineRule="atLeast"/>
        <w:rPr>
          <w:rFonts w:ascii="sabonroman" w:eastAsia="Times New Roman" w:hAnsi="sabonroman" w:cs="Arial"/>
          <w:sz w:val="24"/>
          <w:szCs w:val="24"/>
          <w:lang w:eastAsia="sv-SE"/>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361950</wp:posOffset>
            </wp:positionV>
            <wp:extent cx="5861050" cy="4143375"/>
            <wp:effectExtent l="0" t="0" r="6350" b="9525"/>
            <wp:wrapSquare wrapText="bothSides"/>
            <wp:docPr id="1" name="Bildobjekt 1" descr="https://www.ukri.org/ukri/assets/Image/SiteImages/xorg/amrinfographic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kri.org/ukri/assets/Image/SiteImages/xorg/amrinfographicfu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1050" cy="414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1C02" w:rsidRDefault="00371C02" w:rsidP="00600259">
      <w:pPr>
        <w:spacing w:after="0" w:line="377" w:lineRule="atLeast"/>
        <w:rPr>
          <w:rFonts w:ascii="sabonroman" w:eastAsia="Times New Roman" w:hAnsi="sabonroman" w:cs="Arial"/>
          <w:sz w:val="24"/>
          <w:szCs w:val="24"/>
          <w:lang w:eastAsia="sv-SE"/>
        </w:rPr>
      </w:pPr>
    </w:p>
    <w:p w:rsidR="00600259" w:rsidRPr="00371C02" w:rsidRDefault="00600259" w:rsidP="00600259">
      <w:pPr>
        <w:spacing w:after="0" w:line="377" w:lineRule="atLeast"/>
        <w:rPr>
          <w:rFonts w:ascii="sabonroman" w:eastAsia="Times New Roman" w:hAnsi="sabonroman" w:cs="Arial"/>
          <w:b/>
          <w:sz w:val="24"/>
          <w:szCs w:val="24"/>
          <w:lang w:eastAsia="sv-SE"/>
        </w:rPr>
      </w:pPr>
      <w:r w:rsidRPr="00371C02">
        <w:rPr>
          <w:rFonts w:ascii="sabonroman" w:eastAsia="Times New Roman" w:hAnsi="sabonroman" w:cs="Arial"/>
          <w:b/>
          <w:sz w:val="24"/>
          <w:szCs w:val="24"/>
          <w:lang w:eastAsia="sv-SE"/>
        </w:rPr>
        <w:lastRenderedPageBreak/>
        <w:t>Frågeställningar</w:t>
      </w:r>
    </w:p>
    <w:p w:rsidR="00600259" w:rsidRPr="00C47EC2" w:rsidRDefault="00600259" w:rsidP="007D547B">
      <w:pPr>
        <w:pStyle w:val="Liststycke"/>
        <w:numPr>
          <w:ilvl w:val="0"/>
          <w:numId w:val="1"/>
        </w:numPr>
        <w:spacing w:after="0" w:line="377" w:lineRule="atLeast"/>
        <w:rPr>
          <w:rFonts w:ascii="sabonroman" w:eastAsia="Times New Roman" w:hAnsi="sabonroman" w:cs="Arial"/>
          <w:sz w:val="24"/>
          <w:szCs w:val="24"/>
          <w:lang w:eastAsia="sv-SE"/>
        </w:rPr>
      </w:pPr>
      <w:r w:rsidRPr="00C47EC2">
        <w:rPr>
          <w:rFonts w:ascii="sabonroman" w:eastAsia="Times New Roman" w:hAnsi="sabonroman" w:cs="Arial"/>
          <w:sz w:val="24"/>
          <w:szCs w:val="24"/>
          <w:lang w:eastAsia="sv-SE"/>
        </w:rPr>
        <w:t>Vad är antibiotikaresistens?</w:t>
      </w:r>
    </w:p>
    <w:p w:rsidR="00600259" w:rsidRPr="00C47EC2" w:rsidRDefault="00600259" w:rsidP="00600259">
      <w:pPr>
        <w:pStyle w:val="Liststycke"/>
        <w:numPr>
          <w:ilvl w:val="0"/>
          <w:numId w:val="1"/>
        </w:numPr>
        <w:spacing w:after="0" w:line="377" w:lineRule="atLeast"/>
        <w:rPr>
          <w:rFonts w:ascii="sabonroman" w:eastAsia="Times New Roman" w:hAnsi="sabonroman" w:cs="Arial"/>
          <w:sz w:val="24"/>
          <w:szCs w:val="24"/>
          <w:lang w:eastAsia="sv-SE"/>
        </w:rPr>
      </w:pPr>
      <w:r w:rsidRPr="00C47EC2">
        <w:rPr>
          <w:rFonts w:ascii="sabonroman" w:eastAsia="Times New Roman" w:hAnsi="sabonroman" w:cs="Arial"/>
          <w:sz w:val="24"/>
          <w:szCs w:val="24"/>
          <w:lang w:eastAsia="sv-SE"/>
        </w:rPr>
        <w:t>Hur uppstår antibiotikaresistens?</w:t>
      </w:r>
    </w:p>
    <w:p w:rsidR="00AB1FC7" w:rsidRPr="00C47EC2" w:rsidRDefault="00AB1FC7" w:rsidP="00600259">
      <w:pPr>
        <w:pStyle w:val="Liststycke"/>
        <w:numPr>
          <w:ilvl w:val="0"/>
          <w:numId w:val="1"/>
        </w:numPr>
        <w:spacing w:after="0" w:line="377" w:lineRule="atLeast"/>
        <w:rPr>
          <w:rFonts w:ascii="sabonroman" w:eastAsia="Times New Roman" w:hAnsi="sabonroman" w:cs="Arial"/>
          <w:sz w:val="24"/>
          <w:szCs w:val="24"/>
          <w:lang w:eastAsia="sv-SE"/>
        </w:rPr>
      </w:pPr>
      <w:r w:rsidRPr="00C47EC2">
        <w:rPr>
          <w:rFonts w:ascii="sabonroman" w:eastAsia="Times New Roman" w:hAnsi="sabonroman" w:cs="Arial"/>
          <w:sz w:val="24"/>
          <w:szCs w:val="24"/>
          <w:lang w:eastAsia="sv-SE"/>
        </w:rPr>
        <w:t>Hur skiljer sig synen på an</w:t>
      </w:r>
      <w:r w:rsidR="00C47EC2" w:rsidRPr="00C47EC2">
        <w:rPr>
          <w:rFonts w:ascii="sabonroman" w:eastAsia="Times New Roman" w:hAnsi="sabonroman" w:cs="Arial"/>
          <w:sz w:val="24"/>
          <w:szCs w:val="24"/>
          <w:lang w:eastAsia="sv-SE"/>
        </w:rPr>
        <w:t>vändandet av antibiotika åt i olika delar av världen?</w:t>
      </w:r>
    </w:p>
    <w:p w:rsidR="00600259" w:rsidRPr="00C47EC2" w:rsidRDefault="00935772" w:rsidP="00935772">
      <w:pPr>
        <w:pStyle w:val="Liststycke"/>
        <w:numPr>
          <w:ilvl w:val="0"/>
          <w:numId w:val="1"/>
        </w:numPr>
        <w:spacing w:after="0" w:line="377" w:lineRule="atLeast"/>
        <w:rPr>
          <w:rFonts w:ascii="sabonroman" w:eastAsia="Times New Roman" w:hAnsi="sabonroman" w:cs="Arial"/>
          <w:sz w:val="24"/>
          <w:szCs w:val="24"/>
          <w:lang w:eastAsia="sv-SE"/>
        </w:rPr>
      </w:pPr>
      <w:r w:rsidRPr="00C47EC2">
        <w:rPr>
          <w:rFonts w:ascii="sabonroman" w:eastAsia="Times New Roman" w:hAnsi="sabonroman" w:cs="Arial"/>
          <w:sz w:val="24"/>
          <w:szCs w:val="24"/>
          <w:lang w:eastAsia="sv-SE"/>
        </w:rPr>
        <w:t xml:space="preserve">Hur </w:t>
      </w:r>
      <w:r w:rsidR="007D547B" w:rsidRPr="00C47EC2">
        <w:rPr>
          <w:rFonts w:ascii="sabonroman" w:eastAsia="Times New Roman" w:hAnsi="sabonroman" w:cs="Arial"/>
          <w:sz w:val="24"/>
          <w:szCs w:val="24"/>
          <w:lang w:eastAsia="sv-SE"/>
        </w:rPr>
        <w:t>agerar olika beslutsfattare i frågan</w:t>
      </w:r>
      <w:r w:rsidR="00AB1FC7" w:rsidRPr="00C47EC2">
        <w:rPr>
          <w:rFonts w:ascii="sabonroman" w:eastAsia="Times New Roman" w:hAnsi="sabonroman" w:cs="Arial"/>
          <w:sz w:val="24"/>
          <w:szCs w:val="24"/>
          <w:lang w:eastAsia="sv-SE"/>
        </w:rPr>
        <w:t xml:space="preserve">, </w:t>
      </w:r>
      <w:proofErr w:type="spellStart"/>
      <w:proofErr w:type="gramStart"/>
      <w:r w:rsidR="00AB1FC7" w:rsidRPr="00C47EC2">
        <w:rPr>
          <w:rFonts w:ascii="sabonroman" w:eastAsia="Times New Roman" w:hAnsi="sabonroman" w:cs="Arial"/>
          <w:sz w:val="24"/>
          <w:szCs w:val="24"/>
          <w:lang w:eastAsia="sv-SE"/>
        </w:rPr>
        <w:t>t.ex</w:t>
      </w:r>
      <w:proofErr w:type="spellEnd"/>
      <w:proofErr w:type="gramEnd"/>
      <w:r w:rsidR="00AB1FC7" w:rsidRPr="00C47EC2">
        <w:rPr>
          <w:rFonts w:ascii="sabonroman" w:eastAsia="Times New Roman" w:hAnsi="sabonroman" w:cs="Arial"/>
          <w:sz w:val="24"/>
          <w:szCs w:val="24"/>
          <w:lang w:eastAsia="sv-SE"/>
        </w:rPr>
        <w:t xml:space="preserve">: </w:t>
      </w:r>
    </w:p>
    <w:p w:rsidR="007D547B" w:rsidRPr="00C47EC2" w:rsidRDefault="007D547B" w:rsidP="007D547B">
      <w:pPr>
        <w:pStyle w:val="Liststycke"/>
        <w:numPr>
          <w:ilvl w:val="0"/>
          <w:numId w:val="2"/>
        </w:numPr>
        <w:spacing w:after="0" w:line="377" w:lineRule="atLeast"/>
        <w:rPr>
          <w:rFonts w:ascii="sabonroman" w:eastAsia="Times New Roman" w:hAnsi="sabonroman" w:cs="Arial"/>
          <w:sz w:val="24"/>
          <w:szCs w:val="24"/>
          <w:lang w:eastAsia="sv-SE"/>
        </w:rPr>
      </w:pPr>
      <w:r w:rsidRPr="00C47EC2">
        <w:rPr>
          <w:rFonts w:ascii="sabonroman" w:eastAsia="Times New Roman" w:hAnsi="sabonroman" w:cs="Arial"/>
          <w:sz w:val="24"/>
          <w:szCs w:val="24"/>
          <w:lang w:eastAsia="sv-SE"/>
        </w:rPr>
        <w:t>Grupper av länder, t.ex. EU, G77, Arabförbundet, samarbetsorganisationer för Afrika, Asien och Amerika</w:t>
      </w:r>
      <w:r w:rsidR="00AB1FC7" w:rsidRPr="00C47EC2">
        <w:rPr>
          <w:rFonts w:ascii="sabonroman" w:eastAsia="Times New Roman" w:hAnsi="sabonroman" w:cs="Arial"/>
          <w:sz w:val="24"/>
          <w:szCs w:val="24"/>
          <w:lang w:eastAsia="sv-SE"/>
        </w:rPr>
        <w:t>?</w:t>
      </w:r>
    </w:p>
    <w:p w:rsidR="007D547B" w:rsidRPr="00C47EC2" w:rsidRDefault="007D547B" w:rsidP="007D547B">
      <w:pPr>
        <w:pStyle w:val="Liststycke"/>
        <w:numPr>
          <w:ilvl w:val="0"/>
          <w:numId w:val="2"/>
        </w:numPr>
        <w:spacing w:after="0" w:line="377" w:lineRule="atLeast"/>
        <w:rPr>
          <w:rFonts w:ascii="sabonroman" w:eastAsia="Times New Roman" w:hAnsi="sabonroman" w:cs="Arial"/>
          <w:sz w:val="24"/>
          <w:szCs w:val="24"/>
          <w:lang w:eastAsia="sv-SE"/>
        </w:rPr>
      </w:pPr>
      <w:r w:rsidRPr="00C47EC2">
        <w:rPr>
          <w:rFonts w:ascii="sabonroman" w:eastAsia="Times New Roman" w:hAnsi="sabonroman" w:cs="Arial"/>
          <w:sz w:val="24"/>
          <w:szCs w:val="24"/>
          <w:lang w:eastAsia="sv-SE"/>
        </w:rPr>
        <w:t>Läkemedelsindustrin med förgreningar över hela världen</w:t>
      </w:r>
      <w:r w:rsidR="00AB1FC7" w:rsidRPr="00C47EC2">
        <w:rPr>
          <w:rFonts w:ascii="sabonroman" w:eastAsia="Times New Roman" w:hAnsi="sabonroman" w:cs="Arial"/>
          <w:sz w:val="24"/>
          <w:szCs w:val="24"/>
          <w:lang w:eastAsia="sv-SE"/>
        </w:rPr>
        <w:t>?</w:t>
      </w:r>
      <w:r w:rsidR="00C47EC2">
        <w:rPr>
          <w:rFonts w:ascii="sabonroman" w:eastAsia="Times New Roman" w:hAnsi="sabonroman" w:cs="Arial"/>
          <w:sz w:val="24"/>
          <w:szCs w:val="24"/>
          <w:lang w:eastAsia="sv-SE"/>
        </w:rPr>
        <w:t xml:space="preserve"> På vilka sätt kan dessa bidra till/förhindra spridning?</w:t>
      </w:r>
    </w:p>
    <w:p w:rsidR="00AB1FC7" w:rsidRPr="00C47EC2" w:rsidRDefault="00AB1FC7" w:rsidP="007D547B">
      <w:pPr>
        <w:pStyle w:val="Liststycke"/>
        <w:numPr>
          <w:ilvl w:val="0"/>
          <w:numId w:val="2"/>
        </w:numPr>
        <w:spacing w:after="0" w:line="377" w:lineRule="atLeast"/>
        <w:rPr>
          <w:rFonts w:ascii="sabonroman" w:eastAsia="Times New Roman" w:hAnsi="sabonroman" w:cs="Arial"/>
          <w:sz w:val="24"/>
          <w:szCs w:val="24"/>
          <w:lang w:eastAsia="sv-SE"/>
        </w:rPr>
      </w:pPr>
      <w:r w:rsidRPr="00C47EC2">
        <w:rPr>
          <w:rFonts w:ascii="sabonroman" w:eastAsia="Times New Roman" w:hAnsi="sabonroman" w:cs="Arial"/>
          <w:sz w:val="24"/>
          <w:szCs w:val="24"/>
          <w:lang w:eastAsia="sv-SE"/>
        </w:rPr>
        <w:t>Sjukvårds- och lantbrukssektorn?</w:t>
      </w:r>
      <w:r w:rsidR="00C47EC2">
        <w:rPr>
          <w:rFonts w:ascii="sabonroman" w:eastAsia="Times New Roman" w:hAnsi="sabonroman" w:cs="Arial"/>
          <w:sz w:val="24"/>
          <w:szCs w:val="24"/>
          <w:lang w:eastAsia="sv-SE"/>
        </w:rPr>
        <w:t xml:space="preserve"> På vilka sätt kan dessa bidra till/förhindra spridning?</w:t>
      </w:r>
    </w:p>
    <w:p w:rsidR="00AB1FC7" w:rsidRPr="00C47EC2" w:rsidRDefault="00AB1FC7" w:rsidP="00AB1FC7">
      <w:pPr>
        <w:pStyle w:val="Liststycke"/>
        <w:numPr>
          <w:ilvl w:val="0"/>
          <w:numId w:val="1"/>
        </w:numPr>
        <w:spacing w:after="0" w:line="377" w:lineRule="atLeast"/>
        <w:rPr>
          <w:rFonts w:ascii="sabonroman" w:eastAsia="Times New Roman" w:hAnsi="sabonroman" w:cs="Arial"/>
          <w:sz w:val="24"/>
          <w:szCs w:val="24"/>
          <w:lang w:eastAsia="sv-SE"/>
        </w:rPr>
      </w:pPr>
      <w:r w:rsidRPr="00C47EC2">
        <w:rPr>
          <w:rFonts w:ascii="sabonroman" w:eastAsia="Times New Roman" w:hAnsi="sabonroman" w:cs="Arial"/>
          <w:sz w:val="24"/>
          <w:szCs w:val="24"/>
          <w:lang w:eastAsia="sv-SE"/>
        </w:rPr>
        <w:t>Vilka samarbeten finns för at</w:t>
      </w:r>
      <w:bookmarkStart w:id="0" w:name="_GoBack"/>
      <w:bookmarkEnd w:id="0"/>
      <w:r w:rsidRPr="00C47EC2">
        <w:rPr>
          <w:rFonts w:ascii="sabonroman" w:eastAsia="Times New Roman" w:hAnsi="sabonroman" w:cs="Arial"/>
          <w:sz w:val="24"/>
          <w:szCs w:val="24"/>
          <w:lang w:eastAsia="sv-SE"/>
        </w:rPr>
        <w:t>t förhindra antibiotikaresistens?</w:t>
      </w:r>
    </w:p>
    <w:p w:rsidR="00AB1FC7" w:rsidRPr="00C47EC2" w:rsidRDefault="00AB1FC7" w:rsidP="00AB1FC7">
      <w:pPr>
        <w:pStyle w:val="Liststycke"/>
        <w:numPr>
          <w:ilvl w:val="0"/>
          <w:numId w:val="1"/>
        </w:numPr>
        <w:spacing w:after="0" w:line="377" w:lineRule="atLeast"/>
        <w:rPr>
          <w:rFonts w:ascii="sabonroman" w:eastAsia="Times New Roman" w:hAnsi="sabonroman" w:cs="Arial"/>
          <w:sz w:val="24"/>
          <w:szCs w:val="24"/>
          <w:lang w:eastAsia="sv-SE"/>
        </w:rPr>
      </w:pPr>
      <w:r w:rsidRPr="00C47EC2">
        <w:rPr>
          <w:rFonts w:ascii="sabonroman" w:eastAsia="Times New Roman" w:hAnsi="sabonroman" w:cs="Arial"/>
          <w:sz w:val="24"/>
          <w:szCs w:val="24"/>
          <w:lang w:eastAsia="sv-SE"/>
        </w:rPr>
        <w:t xml:space="preserve">Hur kan FN agera för att </w:t>
      </w:r>
      <w:r w:rsidR="00C47EC2" w:rsidRPr="00C47EC2">
        <w:rPr>
          <w:rFonts w:ascii="sabonroman" w:eastAsia="Times New Roman" w:hAnsi="sabonroman" w:cs="Arial"/>
          <w:sz w:val="24"/>
          <w:szCs w:val="24"/>
          <w:lang w:eastAsia="sv-SE"/>
        </w:rPr>
        <w:t>med kraft förhindra ytterligare spridning?</w:t>
      </w:r>
    </w:p>
    <w:p w:rsidR="00600259" w:rsidRDefault="00600259">
      <w:pPr>
        <w:rPr>
          <w:sz w:val="24"/>
          <w:szCs w:val="24"/>
        </w:rPr>
      </w:pPr>
    </w:p>
    <w:p w:rsidR="00C47EC2" w:rsidRPr="00371C02" w:rsidRDefault="00C47EC2">
      <w:pPr>
        <w:rPr>
          <w:b/>
          <w:sz w:val="24"/>
          <w:szCs w:val="24"/>
        </w:rPr>
      </w:pPr>
      <w:r w:rsidRPr="00371C02">
        <w:rPr>
          <w:b/>
          <w:sz w:val="24"/>
          <w:szCs w:val="24"/>
        </w:rPr>
        <w:t>Länkar:</w:t>
      </w:r>
    </w:p>
    <w:p w:rsidR="00C47EC2" w:rsidRDefault="00C47EC2">
      <w:pPr>
        <w:rPr>
          <w:sz w:val="24"/>
          <w:szCs w:val="24"/>
        </w:rPr>
      </w:pPr>
      <w:hyperlink r:id="rId6" w:history="1">
        <w:r w:rsidRPr="0037624F">
          <w:rPr>
            <w:rStyle w:val="Hyperlnk"/>
            <w:sz w:val="24"/>
            <w:szCs w:val="24"/>
          </w:rPr>
          <w:t>https://www.who.int/antimicrobial-resistance/en/</w:t>
        </w:r>
      </w:hyperlink>
      <w:r>
        <w:rPr>
          <w:sz w:val="24"/>
          <w:szCs w:val="24"/>
        </w:rPr>
        <w:t xml:space="preserve"> </w:t>
      </w:r>
    </w:p>
    <w:p w:rsidR="00C47EC2" w:rsidRDefault="00C47EC2">
      <w:pPr>
        <w:rPr>
          <w:sz w:val="24"/>
          <w:szCs w:val="24"/>
        </w:rPr>
      </w:pPr>
      <w:hyperlink r:id="rId7" w:history="1">
        <w:r w:rsidRPr="0037624F">
          <w:rPr>
            <w:rStyle w:val="Hyperlnk"/>
            <w:sz w:val="24"/>
            <w:szCs w:val="24"/>
          </w:rPr>
          <w:t>https://www.un.org/sustainabledevelopment/blog/2018/01/un-health-agency-finds-high-levels-antibiotic-resistance-worlds-common-infections/</w:t>
        </w:r>
      </w:hyperlink>
      <w:r>
        <w:rPr>
          <w:sz w:val="24"/>
          <w:szCs w:val="24"/>
        </w:rPr>
        <w:t xml:space="preserve"> </w:t>
      </w:r>
    </w:p>
    <w:p w:rsidR="00C47EC2" w:rsidRDefault="00C47EC2">
      <w:pPr>
        <w:rPr>
          <w:sz w:val="24"/>
          <w:szCs w:val="24"/>
        </w:rPr>
      </w:pPr>
      <w:hyperlink r:id="rId8" w:history="1">
        <w:r w:rsidRPr="0037624F">
          <w:rPr>
            <w:rStyle w:val="Hyperlnk"/>
            <w:sz w:val="24"/>
            <w:szCs w:val="24"/>
          </w:rPr>
          <w:t>https://ecdc.europa.eu/en/publications-data/summary-latest-data-antibiotic-resistance-european-union</w:t>
        </w:r>
      </w:hyperlink>
      <w:r>
        <w:rPr>
          <w:sz w:val="24"/>
          <w:szCs w:val="24"/>
        </w:rPr>
        <w:t xml:space="preserve"> </w:t>
      </w:r>
    </w:p>
    <w:p w:rsidR="00161567" w:rsidRDefault="00161567">
      <w:pPr>
        <w:rPr>
          <w:sz w:val="24"/>
          <w:szCs w:val="24"/>
        </w:rPr>
      </w:pPr>
      <w:hyperlink r:id="rId9" w:history="1">
        <w:r w:rsidRPr="0037624F">
          <w:rPr>
            <w:rStyle w:val="Hyperlnk"/>
            <w:sz w:val="24"/>
            <w:szCs w:val="24"/>
          </w:rPr>
          <w:t>https://au.int/en/pressreleases/20171107/african-countries-launch-framework-tackle-threat-antibiotic-resistant</w:t>
        </w:r>
      </w:hyperlink>
      <w:r>
        <w:rPr>
          <w:sz w:val="24"/>
          <w:szCs w:val="24"/>
        </w:rPr>
        <w:t xml:space="preserve"> </w:t>
      </w:r>
    </w:p>
    <w:p w:rsidR="00845E69" w:rsidRDefault="00845E69">
      <w:pPr>
        <w:rPr>
          <w:sz w:val="24"/>
          <w:szCs w:val="24"/>
        </w:rPr>
      </w:pPr>
      <w:hyperlink r:id="rId10" w:history="1">
        <w:r w:rsidRPr="0037624F">
          <w:rPr>
            <w:rStyle w:val="Hyperlnk"/>
            <w:sz w:val="24"/>
            <w:szCs w:val="24"/>
          </w:rPr>
          <w:t>https://www.bmj.com/anti-microbial-resistance</w:t>
        </w:r>
      </w:hyperlink>
      <w:r>
        <w:rPr>
          <w:sz w:val="24"/>
          <w:szCs w:val="24"/>
        </w:rPr>
        <w:t xml:space="preserve"> </w:t>
      </w:r>
    </w:p>
    <w:p w:rsidR="00845E69" w:rsidRDefault="00845E69">
      <w:pPr>
        <w:rPr>
          <w:sz w:val="24"/>
          <w:szCs w:val="24"/>
        </w:rPr>
      </w:pPr>
      <w:hyperlink r:id="rId11" w:history="1">
        <w:r w:rsidRPr="0037624F">
          <w:rPr>
            <w:rStyle w:val="Hyperlnk"/>
            <w:sz w:val="24"/>
            <w:szCs w:val="24"/>
          </w:rPr>
          <w:t>https://www.folkhalsomyndigheten.se/smittskydd-beredskap/antibiotika-och-antibiotikaresistens/</w:t>
        </w:r>
      </w:hyperlink>
      <w:r>
        <w:rPr>
          <w:sz w:val="24"/>
          <w:szCs w:val="24"/>
        </w:rPr>
        <w:t xml:space="preserve"> </w:t>
      </w:r>
    </w:p>
    <w:p w:rsidR="00845E69" w:rsidRDefault="00845E69">
      <w:pPr>
        <w:rPr>
          <w:sz w:val="24"/>
          <w:szCs w:val="24"/>
        </w:rPr>
      </w:pPr>
      <w:hyperlink r:id="rId12" w:history="1">
        <w:r w:rsidRPr="0037624F">
          <w:rPr>
            <w:rStyle w:val="Hyperlnk"/>
            <w:sz w:val="24"/>
            <w:szCs w:val="24"/>
          </w:rPr>
          <w:t>https://www.folkhalsomyndigheten.se/nyheter-och-press/nyhetsarkiv/2018/januari/fyra-ganger-mer-antibiotikaresistens-ar-2050/</w:t>
        </w:r>
      </w:hyperlink>
      <w:r>
        <w:rPr>
          <w:sz w:val="24"/>
          <w:szCs w:val="24"/>
        </w:rPr>
        <w:t xml:space="preserve"> </w:t>
      </w:r>
    </w:p>
    <w:p w:rsidR="00845E69" w:rsidRPr="00C47EC2" w:rsidRDefault="00845E69">
      <w:pPr>
        <w:rPr>
          <w:sz w:val="24"/>
          <w:szCs w:val="24"/>
        </w:rPr>
      </w:pPr>
      <w:hyperlink r:id="rId13" w:history="1">
        <w:r w:rsidRPr="0037624F">
          <w:rPr>
            <w:rStyle w:val="Hyperlnk"/>
            <w:sz w:val="24"/>
            <w:szCs w:val="24"/>
          </w:rPr>
          <w:t>https://www.forskning.se/2016/11/14/antibiotikaresistens-var-tids-storsta-hot/</w:t>
        </w:r>
      </w:hyperlink>
      <w:r>
        <w:rPr>
          <w:sz w:val="24"/>
          <w:szCs w:val="24"/>
        </w:rPr>
        <w:t xml:space="preserve"> </w:t>
      </w:r>
    </w:p>
    <w:sectPr w:rsidR="00845E69" w:rsidRPr="00C47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bonroman">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medium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59F6"/>
    <w:multiLevelType w:val="hybridMultilevel"/>
    <w:tmpl w:val="AD262A98"/>
    <w:lvl w:ilvl="0" w:tplc="9370CBE2">
      <w:start w:val="1"/>
      <w:numFmt w:val="decimal"/>
      <w:lvlText w:val="%1."/>
      <w:lvlJc w:val="left"/>
      <w:pPr>
        <w:ind w:left="720" w:hanging="360"/>
      </w:pPr>
      <w:rPr>
        <w:rFonts w:ascii="sabonroman" w:eastAsia="Times New Roman" w:hAnsi="sabonroman" w:cs="Aria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0B1D8A"/>
    <w:multiLevelType w:val="hybridMultilevel"/>
    <w:tmpl w:val="0BAE89B4"/>
    <w:lvl w:ilvl="0" w:tplc="1DBC09A2">
      <w:start w:val="1"/>
      <w:numFmt w:val="bullet"/>
      <w:lvlText w:val="-"/>
      <w:lvlJc w:val="left"/>
      <w:pPr>
        <w:ind w:left="1080" w:hanging="360"/>
      </w:pPr>
      <w:rPr>
        <w:rFonts w:ascii="sabonroman" w:eastAsia="Times New Roman" w:hAnsi="sabonroman"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59"/>
    <w:rsid w:val="00161567"/>
    <w:rsid w:val="00371C02"/>
    <w:rsid w:val="00600259"/>
    <w:rsid w:val="0074175B"/>
    <w:rsid w:val="007D547B"/>
    <w:rsid w:val="00845E69"/>
    <w:rsid w:val="00935772"/>
    <w:rsid w:val="00AB1FC7"/>
    <w:rsid w:val="00C47EC2"/>
    <w:rsid w:val="00C96578"/>
    <w:rsid w:val="00E60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E3B9"/>
  <w15:chartTrackingRefBased/>
  <w15:docId w15:val="{F220EDFE-9E1B-4984-B5E2-E4B8E591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00259"/>
    <w:pPr>
      <w:ind w:left="720"/>
      <w:contextualSpacing/>
    </w:pPr>
  </w:style>
  <w:style w:type="character" w:styleId="HTML-citat">
    <w:name w:val="HTML Cite"/>
    <w:basedOn w:val="Standardstycketeckensnitt"/>
    <w:uiPriority w:val="99"/>
    <w:semiHidden/>
    <w:unhideWhenUsed/>
    <w:rsid w:val="00935772"/>
    <w:rPr>
      <w:i/>
      <w:iCs/>
    </w:rPr>
  </w:style>
  <w:style w:type="character" w:styleId="Hyperlnk">
    <w:name w:val="Hyperlink"/>
    <w:basedOn w:val="Standardstycketeckensnitt"/>
    <w:uiPriority w:val="99"/>
    <w:unhideWhenUsed/>
    <w:rsid w:val="00935772"/>
    <w:rPr>
      <w:color w:val="0563C1" w:themeColor="hyperlink"/>
      <w:u w:val="single"/>
    </w:rPr>
  </w:style>
  <w:style w:type="character" w:styleId="Olstomnmnande">
    <w:name w:val="Unresolved Mention"/>
    <w:basedOn w:val="Standardstycketeckensnitt"/>
    <w:uiPriority w:val="99"/>
    <w:semiHidden/>
    <w:unhideWhenUsed/>
    <w:rsid w:val="00935772"/>
    <w:rPr>
      <w:color w:val="605E5C"/>
      <w:shd w:val="clear" w:color="auto" w:fill="E1DFDD"/>
    </w:rPr>
  </w:style>
  <w:style w:type="character" w:styleId="AnvndHyperlnk">
    <w:name w:val="FollowedHyperlink"/>
    <w:basedOn w:val="Standardstycketeckensnitt"/>
    <w:uiPriority w:val="99"/>
    <w:semiHidden/>
    <w:unhideWhenUsed/>
    <w:rsid w:val="00AB1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dc.europa.eu/en/publications-data/summary-latest-data-antibiotic-resistance-european-union" TargetMode="External"/><Relationship Id="rId13" Type="http://schemas.openxmlformats.org/officeDocument/2006/relationships/hyperlink" Target="https://www.forskning.se/2016/11/14/antibiotikaresistens-var-tids-storsta-hot/" TargetMode="External"/><Relationship Id="rId3" Type="http://schemas.openxmlformats.org/officeDocument/2006/relationships/settings" Target="settings.xml"/><Relationship Id="rId7" Type="http://schemas.openxmlformats.org/officeDocument/2006/relationships/hyperlink" Target="https://www.un.org/sustainabledevelopment/blog/2018/01/un-health-agency-finds-high-levels-antibiotic-resistance-worlds-common-infections/" TargetMode="External"/><Relationship Id="rId12" Type="http://schemas.openxmlformats.org/officeDocument/2006/relationships/hyperlink" Target="https://www.folkhalsomyndigheten.se/nyheter-och-press/nyhetsarkiv/2018/januari/fyra-ganger-mer-antibiotikaresistens-ar-2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antimicrobial-resistance/en/" TargetMode="External"/><Relationship Id="rId11" Type="http://schemas.openxmlformats.org/officeDocument/2006/relationships/hyperlink" Target="https://www.folkhalsomyndigheten.se/smittskydd-beredskap/antibiotika-och-antibiotikaresisten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mj.com/anti-microbial-resistance" TargetMode="External"/><Relationship Id="rId4" Type="http://schemas.openxmlformats.org/officeDocument/2006/relationships/webSettings" Target="webSettings.xml"/><Relationship Id="rId9" Type="http://schemas.openxmlformats.org/officeDocument/2006/relationships/hyperlink" Target="https://au.int/en/pressreleases/20171107/african-countries-launch-framework-tackle-threat-antibiotic-resistant"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2831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Johan Andersson</dc:creator>
  <cp:keywords/>
  <dc:description/>
  <cp:lastModifiedBy>Karl Johan Andersson</cp:lastModifiedBy>
  <cp:revision>2</cp:revision>
  <cp:lastPrinted>2018-10-18T08:33:00Z</cp:lastPrinted>
  <dcterms:created xsi:type="dcterms:W3CDTF">2018-10-18T08:37:00Z</dcterms:created>
  <dcterms:modified xsi:type="dcterms:W3CDTF">2018-10-18T08:37:00Z</dcterms:modified>
</cp:coreProperties>
</file>